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7" w:rsidRDefault="007A7F43" w:rsidP="00853727">
      <w:pPr>
        <w:tabs>
          <w:tab w:val="num" w:pos="720"/>
          <w:tab w:val="left" w:pos="7755"/>
        </w:tabs>
        <w:spacing w:after="0" w:line="240" w:lineRule="auto"/>
        <w:rPr>
          <w:rFonts w:ascii="Book Antiqua" w:hAnsi="Book Antiqua"/>
          <w:sz w:val="44"/>
          <w:szCs w:val="56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105410</wp:posOffset>
                </wp:positionV>
                <wp:extent cx="901065" cy="904240"/>
                <wp:effectExtent l="121920" t="52705" r="3429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28809">
                          <a:off x="0" y="0"/>
                          <a:ext cx="901065" cy="9042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27" w:rsidRDefault="00853727" w:rsidP="00853727">
                            <w:pP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153</w:t>
                            </w:r>
                          </w:p>
                          <w:p w:rsidR="00853727" w:rsidRDefault="00853727" w:rsidP="008537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83.4pt;margin-top:8.3pt;width:70.95pt;height:71.2pt;rotation:-14514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" strokecolor="#f60">
                <v:textbox>
                  <w:txbxContent>
                    <w:p w:rsidR="00853727" w:rsidRDefault="00853727" w:rsidP="00853727">
                      <w:pPr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153</w:t>
                      </w:r>
                    </w:p>
                    <w:p w:rsidR="00853727" w:rsidRDefault="00853727" w:rsidP="0085372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727">
        <w:rPr>
          <w:rFonts w:ascii="Book Antiqua" w:hAnsi="Book Antiqua"/>
          <w:noProof/>
        </w:rPr>
        <w:drawing>
          <wp:inline distT="0" distB="0" distL="0" distR="0">
            <wp:extent cx="1028700" cy="1143000"/>
            <wp:effectExtent l="19050" t="0" r="0" b="0"/>
            <wp:docPr id="1" name="Immagine 1" descr="LOGO_S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NA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727">
        <w:rPr>
          <w:rFonts w:ascii="Book Antiqua" w:hAnsi="Book Antiqua"/>
          <w:sz w:val="28"/>
          <w:szCs w:val="28"/>
          <w:lang w:val="en-US"/>
        </w:rPr>
        <w:t xml:space="preserve">  </w:t>
      </w:r>
      <w:r w:rsidR="00853727">
        <w:rPr>
          <w:rFonts w:ascii="Book Antiqua" w:hAnsi="Book Antiqua"/>
          <w:lang w:val="en-US"/>
        </w:rPr>
        <w:t xml:space="preserve">              </w:t>
      </w:r>
      <w:r w:rsidR="00853727">
        <w:rPr>
          <w:rFonts w:ascii="Book Antiqua" w:hAnsi="Book Antiqua"/>
          <w:sz w:val="72"/>
          <w:szCs w:val="72"/>
          <w:lang w:val="en-US"/>
        </w:rPr>
        <w:t xml:space="preserve"> </w:t>
      </w:r>
      <w:r w:rsidR="00853727">
        <w:rPr>
          <w:rFonts w:ascii="Book Antiqua" w:hAnsi="Book Antiqua" w:cs="Tahoma"/>
          <w:b/>
          <w:bCs/>
          <w:sz w:val="72"/>
          <w:szCs w:val="72"/>
          <w:lang w:val="en-US"/>
        </w:rPr>
        <w:t>SNALS</w:t>
      </w:r>
      <w:r w:rsidR="00853727">
        <w:rPr>
          <w:rFonts w:ascii="Book Antiqua" w:hAnsi="Book Antiqua" w:cs="Tahoma"/>
          <w:b/>
          <w:bCs/>
          <w:sz w:val="80"/>
          <w:szCs w:val="80"/>
          <w:lang w:val="en-US"/>
        </w:rPr>
        <w:t xml:space="preserve"> </w:t>
      </w:r>
      <w:r w:rsidR="00853727">
        <w:rPr>
          <w:rFonts w:ascii="Book Antiqua" w:hAnsi="Book Antiqua" w:cs="Tahoma"/>
          <w:b/>
          <w:bCs/>
          <w:i/>
          <w:iCs/>
          <w:sz w:val="44"/>
          <w:szCs w:val="56"/>
          <w:lang w:val="en-US"/>
        </w:rPr>
        <w:t>conf.s.a.l.</w:t>
      </w:r>
      <w:r w:rsidR="00853727">
        <w:rPr>
          <w:rFonts w:ascii="Book Antiqua" w:hAnsi="Book Antiqua" w:cs="Tahoma"/>
          <w:b/>
          <w:bCs/>
          <w:i/>
          <w:iCs/>
          <w:sz w:val="44"/>
          <w:szCs w:val="56"/>
          <w:lang w:val="en-US"/>
        </w:rPr>
        <w:tab/>
      </w:r>
    </w:p>
    <w:p w:rsidR="00853727" w:rsidRDefault="00853727" w:rsidP="00853727">
      <w:pPr>
        <w:pStyle w:val="Intestazione"/>
        <w:tabs>
          <w:tab w:val="left" w:pos="397"/>
          <w:tab w:val="left" w:pos="851"/>
          <w:tab w:val="left" w:pos="1247"/>
          <w:tab w:val="left" w:pos="4536"/>
          <w:tab w:val="left" w:pos="5670"/>
          <w:tab w:val="left" w:pos="7088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segreteria provinciale di Venezia</w:t>
      </w:r>
    </w:p>
    <w:p w:rsidR="00853727" w:rsidRDefault="00853727" w:rsidP="00853727">
      <w:pPr>
        <w:spacing w:after="0" w:line="240" w:lineRule="auto"/>
        <w:jc w:val="center"/>
        <w:rPr>
          <w:rFonts w:ascii="Book Antiqua" w:hAnsi="Book Antiqua"/>
          <w:b/>
          <w:color w:val="FF6600"/>
        </w:rPr>
      </w:pPr>
    </w:p>
    <w:p w:rsidR="00853727" w:rsidRDefault="00853727" w:rsidP="00853727">
      <w:pPr>
        <w:spacing w:after="0" w:line="240" w:lineRule="auto"/>
        <w:jc w:val="center"/>
        <w:rPr>
          <w:rFonts w:ascii="Book Antiqua" w:hAnsi="Book Antiqua"/>
          <w:b/>
          <w:color w:val="FF6600"/>
          <w:sz w:val="32"/>
          <w:szCs w:val="32"/>
        </w:rPr>
      </w:pPr>
      <w:r>
        <w:rPr>
          <w:rFonts w:ascii="Book Antiqua" w:hAnsi="Book Antiqua"/>
          <w:b/>
          <w:color w:val="FF6600"/>
          <w:sz w:val="32"/>
          <w:szCs w:val="32"/>
        </w:rPr>
        <w:t>LE SCHEDE DELLO SNALS</w:t>
      </w:r>
    </w:p>
    <w:p w:rsidR="00853727" w:rsidRDefault="00853727" w:rsidP="00853727">
      <w:pPr>
        <w:spacing w:after="0" w:line="240" w:lineRule="auto"/>
        <w:jc w:val="center"/>
        <w:rPr>
          <w:rFonts w:ascii="Book Antiqua" w:hAnsi="Book Antiqua"/>
          <w:b/>
          <w:color w:val="FF6600"/>
        </w:rPr>
      </w:pPr>
    </w:p>
    <w:p w:rsidR="00853727" w:rsidRDefault="00853727" w:rsidP="00853727">
      <w:pPr>
        <w:spacing w:after="0" w:line="240" w:lineRule="auto"/>
        <w:jc w:val="center"/>
        <w:rPr>
          <w:rStyle w:val="Enfasigrassetto"/>
          <w:bCs w:val="0"/>
          <w:sz w:val="52"/>
          <w:szCs w:val="52"/>
        </w:rPr>
      </w:pPr>
      <w:r>
        <w:rPr>
          <w:rStyle w:val="Enfasigrassetto"/>
          <w:rFonts w:ascii="Book Antiqua" w:hAnsi="Book Antiqua"/>
          <w:bCs w:val="0"/>
          <w:sz w:val="52"/>
          <w:szCs w:val="52"/>
        </w:rPr>
        <w:t>NOMINA SUPPLENTI DOCENTI</w:t>
      </w:r>
    </w:p>
    <w:p w:rsidR="00853727" w:rsidRDefault="00853727" w:rsidP="00853727">
      <w:pPr>
        <w:spacing w:after="0" w:line="240" w:lineRule="auto"/>
        <w:jc w:val="center"/>
        <w:rPr>
          <w:rStyle w:val="Enfasicorsivo"/>
          <w:rFonts w:cs="Helvetica"/>
          <w:i w:val="0"/>
        </w:rPr>
      </w:pPr>
      <w:r>
        <w:rPr>
          <w:rStyle w:val="Enfasicorsivo"/>
          <w:rFonts w:ascii="Book Antiqua" w:hAnsi="Book Antiqua" w:cs="Helvetica"/>
        </w:rPr>
        <w:t>Nota 2116 del 30.9.2015</w:t>
      </w:r>
      <w:r>
        <w:rPr>
          <w:rStyle w:val="Enfasicorsivo"/>
          <w:rFonts w:ascii="Book Antiqua" w:hAnsi="Book Antiqua" w:cs="Helvetica"/>
          <w:i w:val="0"/>
        </w:rPr>
        <w:t xml:space="preserve">; </w:t>
      </w:r>
      <w:r>
        <w:rPr>
          <w:rFonts w:ascii="Book Antiqua" w:hAnsi="Book Antiqua" w:cs="Helvetica"/>
          <w:i/>
        </w:rPr>
        <w:t>art. 1, comma 333, della legge 190/2014</w:t>
      </w:r>
    </w:p>
    <w:p w:rsidR="00853727" w:rsidRDefault="00853727" w:rsidP="00853727">
      <w:pPr>
        <w:spacing w:after="0" w:line="240" w:lineRule="auto"/>
        <w:jc w:val="center"/>
        <w:rPr>
          <w:i/>
        </w:rPr>
      </w:pPr>
      <w:r>
        <w:rPr>
          <w:rFonts w:ascii="Book Antiqua" w:hAnsi="Book Antiqua" w:cs="Helvetica"/>
          <w:i/>
        </w:rPr>
        <w:t>Chiarimenti in materia di supplenze brevi personale docente ed A.T.A.</w:t>
      </w:r>
    </w:p>
    <w:p w:rsidR="00853727" w:rsidRDefault="00853727" w:rsidP="00853727">
      <w:pPr>
        <w:spacing w:after="0" w:line="240" w:lineRule="auto"/>
        <w:jc w:val="center"/>
        <w:rPr>
          <w:rStyle w:val="Enfasigrassetto"/>
          <w:b w:val="0"/>
          <w:bCs w:val="0"/>
        </w:rPr>
      </w:pPr>
    </w:p>
    <w:p w:rsidR="00853727" w:rsidRDefault="00853727" w:rsidP="00853727">
      <w:pPr>
        <w:spacing w:after="0" w:line="240" w:lineRule="auto"/>
      </w:pPr>
    </w:p>
    <w:p w:rsidR="00853727" w:rsidRDefault="00853727" w:rsidP="00853727">
      <w:pPr>
        <w:spacing w:after="0" w:line="240" w:lineRule="auto"/>
        <w:ind w:firstLine="708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La legge di Stabilità 190/2014, co. 333, aveva introdotto una forte rigidità in materia di supplenze docenti,  vietando di nominare supplenti per il primo giorno di assenza ma salvaguardando, comunque, </w:t>
      </w:r>
      <w:r>
        <w:rPr>
          <w:rFonts w:ascii="Book Antiqua" w:hAnsi="Book Antiqua" w:cs="Courier New"/>
          <w:sz w:val="20"/>
          <w:szCs w:val="20"/>
        </w:rPr>
        <w:t xml:space="preserve"> </w:t>
      </w:r>
      <w:r>
        <w:rPr>
          <w:rFonts w:ascii="Book Antiqua" w:hAnsi="Book Antiqua" w:cs="Courier New"/>
        </w:rPr>
        <w:t>la tutela e la garanzia dell'offerta formativa</w:t>
      </w:r>
      <w:r>
        <w:rPr>
          <w:rFonts w:ascii="Book Antiqua" w:hAnsi="Book Antiqua" w:cs="Helvetica"/>
        </w:rPr>
        <w:t xml:space="preserve">.  </w:t>
      </w:r>
    </w:p>
    <w:p w:rsidR="00853727" w:rsidRDefault="00853727" w:rsidP="0085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i/>
          <w:sz w:val="24"/>
          <w:szCs w:val="24"/>
        </w:rPr>
        <w:t xml:space="preserve">  Co.333. “Ferme restando la tutela e la garanzia dell'offerta formativa, a decorrere dal 1º settembre 2015, i dirigenti scolastici non possono conferire supplenze brevi di  cui  al  primo  periodo  del  comma  78 dell'articolo 1 della legge 23 dicembre 1996, n.  662,  al  personale docente per il primo giorno di assenza.” </w:t>
      </w:r>
    </w:p>
    <w:p w:rsidR="00853727" w:rsidRDefault="00853727" w:rsidP="00853727">
      <w:pPr>
        <w:spacing w:after="0" w:line="240" w:lineRule="auto"/>
        <w:ind w:firstLine="708"/>
        <w:rPr>
          <w:rStyle w:val="Enfasicorsivo"/>
          <w:rFonts w:cs="Helvetica"/>
        </w:rPr>
      </w:pPr>
    </w:p>
    <w:p w:rsidR="00853727" w:rsidRDefault="00853727" w:rsidP="00853727">
      <w:pPr>
        <w:spacing w:after="0" w:line="240" w:lineRule="auto"/>
        <w:ind w:firstLine="708"/>
      </w:pPr>
      <w:r>
        <w:rPr>
          <w:rStyle w:val="Enfasicorsivo"/>
          <w:rFonts w:ascii="Book Antiqua" w:hAnsi="Book Antiqua" w:cs="Helvetica"/>
          <w:i w:val="0"/>
        </w:rPr>
        <w:t>Con la nota 2116 del 30.9.2015 il MIUR  ha cercato di attenuare gli effetti perversi di quella norma letta sommariamente e interpretata in maniera restrittiva:</w:t>
      </w:r>
    </w:p>
    <w:p w:rsidR="00853727" w:rsidRDefault="00853727" w:rsidP="0085372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i/>
        </w:rPr>
      </w:pPr>
      <w:r>
        <w:rPr>
          <w:rFonts w:ascii="Book Antiqua" w:hAnsi="Book Antiqua" w:cs="Helvetica"/>
          <w:i/>
        </w:rPr>
        <w:t>“Per quanto riguarda le assenze del</w:t>
      </w:r>
      <w:r>
        <w:rPr>
          <w:rStyle w:val="apple-converted-space"/>
          <w:rFonts w:ascii="Book Antiqua" w:hAnsi="Book Antiqua" w:cs="Helvetica"/>
          <w:i/>
        </w:rPr>
        <w:t> </w:t>
      </w:r>
      <w:r>
        <w:rPr>
          <w:rStyle w:val="Enfasigrassetto"/>
          <w:rFonts w:ascii="Book Antiqua" w:hAnsi="Book Antiqua" w:cs="Helvetica"/>
          <w:i/>
          <w:bdr w:val="none" w:sz="0" w:space="0" w:color="auto" w:frame="1"/>
        </w:rPr>
        <w:t>personale docente</w:t>
      </w:r>
      <w:r>
        <w:rPr>
          <w:rFonts w:ascii="Book Antiqua" w:hAnsi="Book Antiqua" w:cs="Helvetica"/>
          <w:i/>
        </w:rPr>
        <w:t>, si richiama l’attenzione su quanto già previsto dall’articolato della Legge sopra indicata al comma 333 in merito alla tutela e alla garanzia del diritto allo studio. Ricordando, in ogni caso, che a conclusione del piano straordinario di assunzioni, sarà possibile provvedere alla sostituzione del personale assente anche mediante l’utilizzo dell’organico del potenziamento che verrà assegnato ad ogni istituzione scolastica.”</w:t>
      </w:r>
    </w:p>
    <w:p w:rsidR="00853727" w:rsidRDefault="00853727" w:rsidP="0085372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iCs w:val="0"/>
        </w:rPr>
      </w:pPr>
    </w:p>
    <w:p w:rsidR="00853727" w:rsidRDefault="00853727" w:rsidP="00853727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Courier New"/>
        </w:rPr>
      </w:pPr>
      <w:r>
        <w:rPr>
          <w:rFonts w:ascii="Book Antiqua" w:hAnsi="Book Antiqua" w:cs="Helvetica"/>
          <w:sz w:val="22"/>
          <w:szCs w:val="22"/>
        </w:rPr>
        <w:t>Insomma, quando c’è un’assenza bisogna fare attenzione alla tutela e alla garanzia del diritto allo studio e</w:t>
      </w:r>
      <w:r>
        <w:rPr>
          <w:rFonts w:ascii="Book Antiqua" w:hAnsi="Book Antiqua" w:cs="Courier New"/>
          <w:sz w:val="22"/>
          <w:szCs w:val="22"/>
        </w:rPr>
        <w:t xml:space="preserve"> </w:t>
      </w:r>
      <w:r>
        <w:rPr>
          <w:rFonts w:ascii="Book Antiqua" w:hAnsi="Book Antiqua" w:cs="Courier New"/>
          <w:i/>
        </w:rPr>
        <w:t xml:space="preserve">“restano ferme la tutela e la garanzia dell'offerta formativa”. </w:t>
      </w:r>
    </w:p>
    <w:p w:rsidR="00853727" w:rsidRDefault="00853727" w:rsidP="00853727">
      <w:pPr>
        <w:spacing w:after="0" w:line="240" w:lineRule="auto"/>
        <w:rPr>
          <w:rStyle w:val="Enfasigrassetto"/>
          <w:rFonts w:cs="Times New Roman"/>
          <w:bCs w:val="0"/>
          <w:u w:val="single"/>
        </w:rPr>
      </w:pPr>
      <w:r>
        <w:rPr>
          <w:rStyle w:val="Enfasigrassetto"/>
          <w:rFonts w:ascii="Book Antiqua" w:hAnsi="Book Antiqua"/>
          <w:bCs w:val="0"/>
          <w:u w:val="single"/>
        </w:rPr>
        <w:t>Allora, quando si nominano i supplenti per i docenti? Praticamente sempre.</w:t>
      </w:r>
    </w:p>
    <w:p w:rsidR="00853727" w:rsidRDefault="00853727" w:rsidP="00853727">
      <w:pPr>
        <w:spacing w:after="0" w:line="240" w:lineRule="auto"/>
        <w:rPr>
          <w:rStyle w:val="Enfasigrassetto"/>
          <w:rFonts w:ascii="Book Antiqua" w:hAnsi="Book Antiqua"/>
          <w:b w:val="0"/>
          <w:bCs w:val="0"/>
        </w:rPr>
      </w:pPr>
      <w:r>
        <w:rPr>
          <w:rStyle w:val="Enfasigrassetto"/>
          <w:rFonts w:ascii="Book Antiqua" w:hAnsi="Book Antiqua"/>
          <w:b w:val="0"/>
          <w:bCs w:val="0"/>
        </w:rPr>
        <w:t>Infatti, il divieto di nominare il supplente si supera perché bisogna comunque garantire il diritto allo studio e l’offerta formativa.</w:t>
      </w:r>
    </w:p>
    <w:p w:rsidR="00853727" w:rsidRDefault="00853727" w:rsidP="00853727">
      <w:pPr>
        <w:spacing w:after="0" w:line="240" w:lineRule="auto"/>
        <w:rPr>
          <w:rStyle w:val="Enfasigrassetto"/>
          <w:rFonts w:ascii="Book Antiqua" w:hAnsi="Book Antiqua"/>
          <w:b w:val="0"/>
          <w:bCs w:val="0"/>
        </w:rPr>
      </w:pPr>
      <w:r>
        <w:rPr>
          <w:rStyle w:val="Enfasigrassetto"/>
          <w:rFonts w:ascii="Book Antiqua" w:hAnsi="Book Antiqua"/>
          <w:b w:val="0"/>
          <w:bCs w:val="0"/>
        </w:rPr>
        <w:t xml:space="preserve">Qual è la normativa di riferimento per il DS che, ad esempio, divide gli alunni per le classi? </w:t>
      </w:r>
    </w:p>
    <w:p w:rsidR="00853727" w:rsidRDefault="00853727" w:rsidP="00853727">
      <w:pPr>
        <w:spacing w:after="0" w:line="240" w:lineRule="auto"/>
        <w:rPr>
          <w:rStyle w:val="Enfasigrassetto"/>
          <w:rFonts w:ascii="Book Antiqua" w:hAnsi="Book Antiqua"/>
          <w:bCs w:val="0"/>
          <w:sz w:val="16"/>
          <w:szCs w:val="16"/>
        </w:rPr>
      </w:pPr>
    </w:p>
    <w:p w:rsidR="00853727" w:rsidRDefault="00853727" w:rsidP="00853727">
      <w:pPr>
        <w:spacing w:after="0" w:line="240" w:lineRule="auto"/>
        <w:jc w:val="both"/>
        <w:rPr>
          <w:bCs/>
          <w:i/>
          <w:iCs/>
        </w:rPr>
      </w:pPr>
      <w:r>
        <w:rPr>
          <w:rFonts w:ascii="Book Antiqua" w:hAnsi="Book Antiqua"/>
        </w:rPr>
        <w:t>Mestre, 4 novembre 2015</w:t>
      </w: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  <w:iCs/>
          <w:sz w:val="16"/>
        </w:rPr>
        <w:tab/>
      </w:r>
      <w:r>
        <w:rPr>
          <w:rFonts w:ascii="Book Antiqua" w:hAnsi="Book Antiqua"/>
          <w:i/>
          <w:iCs/>
          <w:sz w:val="16"/>
        </w:rPr>
        <w:tab/>
        <w:t>pc2sc</w:t>
      </w:r>
      <w:r>
        <w:rPr>
          <w:rFonts w:ascii="Book Antiqua" w:hAnsi="Book Antiqua"/>
          <w:b/>
          <w:bCs/>
          <w:i/>
          <w:iCs/>
          <w:sz w:val="32"/>
        </w:rPr>
        <w:t>153</w:t>
      </w:r>
      <w:r>
        <w:rPr>
          <w:rFonts w:ascii="Book Antiqua" w:hAnsi="Book Antiqua"/>
          <w:b/>
          <w:bCs/>
          <w:i/>
          <w:iCs/>
          <w:sz w:val="16"/>
          <w:szCs w:val="16"/>
        </w:rPr>
        <w:t>DOCENTIsupplenze brevi</w:t>
      </w:r>
    </w:p>
    <w:p w:rsidR="00853727" w:rsidRDefault="00853727" w:rsidP="00853727">
      <w:pPr>
        <w:spacing w:after="0" w:line="240" w:lineRule="auto"/>
        <w:jc w:val="both"/>
        <w:rPr>
          <w:rFonts w:ascii="Book Antiqua" w:hAnsi="Book Antiqua"/>
          <w:bCs/>
          <w:i/>
          <w:iCs/>
          <w:sz w:val="16"/>
          <w:szCs w:val="16"/>
        </w:rPr>
      </w:pPr>
    </w:p>
    <w:p w:rsidR="00853727" w:rsidRDefault="00853727" w:rsidP="00853727">
      <w:pPr>
        <w:spacing w:after="0" w:line="240" w:lineRule="auto"/>
        <w:rPr>
          <w:rFonts w:ascii="Book Antiqua" w:hAnsi="Book Antiqua"/>
          <w:b/>
          <w:bCs/>
          <w:i/>
          <w:iCs/>
          <w:sz w:val="16"/>
          <w:szCs w:val="16"/>
        </w:rPr>
      </w:pPr>
      <w:r>
        <w:rPr>
          <w:rFonts w:ascii="Book Antiqua" w:hAnsi="Book Antiqua"/>
          <w:b/>
          <w:bCs/>
          <w:color w:val="FF6600"/>
          <w:sz w:val="52"/>
          <w:szCs w:val="52"/>
        </w:rPr>
        <w:t>S</w:t>
      </w:r>
      <w:r>
        <w:rPr>
          <w:rFonts w:ascii="Book Antiqua" w:hAnsi="Book Antiqua"/>
          <w:b/>
          <w:color w:val="FF6600"/>
          <w:sz w:val="20"/>
          <w:szCs w:val="20"/>
        </w:rPr>
        <w:t xml:space="preserve">INDACATO </w:t>
      </w:r>
      <w:r>
        <w:rPr>
          <w:rFonts w:ascii="Book Antiqua" w:hAnsi="Book Antiqua"/>
          <w:b/>
          <w:bCs/>
          <w:color w:val="FF6600"/>
          <w:sz w:val="52"/>
          <w:szCs w:val="52"/>
        </w:rPr>
        <w:t>N</w:t>
      </w:r>
      <w:r>
        <w:rPr>
          <w:rFonts w:ascii="Book Antiqua" w:hAnsi="Book Antiqua"/>
          <w:b/>
          <w:color w:val="FF6600"/>
          <w:sz w:val="20"/>
          <w:szCs w:val="20"/>
        </w:rPr>
        <w:t>AZIONALE</w:t>
      </w:r>
      <w:r>
        <w:rPr>
          <w:rFonts w:ascii="Book Antiqua" w:hAnsi="Book Antiqua"/>
          <w:b/>
          <w:color w:val="FF6600"/>
        </w:rPr>
        <w:t xml:space="preserve"> </w:t>
      </w:r>
      <w:r>
        <w:rPr>
          <w:rFonts w:ascii="Book Antiqua" w:hAnsi="Book Antiqua"/>
          <w:b/>
          <w:bCs/>
          <w:color w:val="FF6600"/>
          <w:sz w:val="52"/>
          <w:szCs w:val="52"/>
        </w:rPr>
        <w:t>A</w:t>
      </w:r>
      <w:r>
        <w:rPr>
          <w:rFonts w:ascii="Book Antiqua" w:hAnsi="Book Antiqua"/>
          <w:b/>
          <w:color w:val="FF6600"/>
          <w:sz w:val="20"/>
          <w:szCs w:val="20"/>
        </w:rPr>
        <w:t>UTONOMO</w:t>
      </w:r>
      <w:r>
        <w:rPr>
          <w:rFonts w:ascii="Book Antiqua" w:hAnsi="Book Antiqua"/>
          <w:b/>
          <w:color w:val="FF6600"/>
        </w:rPr>
        <w:t xml:space="preserve"> </w:t>
      </w:r>
      <w:r>
        <w:rPr>
          <w:rFonts w:ascii="Book Antiqua" w:hAnsi="Book Antiqua"/>
          <w:b/>
          <w:bCs/>
          <w:color w:val="FF6600"/>
          <w:sz w:val="52"/>
          <w:szCs w:val="52"/>
        </w:rPr>
        <w:t>L</w:t>
      </w:r>
      <w:r>
        <w:rPr>
          <w:rFonts w:ascii="Book Antiqua" w:hAnsi="Book Antiqua"/>
          <w:b/>
          <w:color w:val="FF6600"/>
          <w:sz w:val="20"/>
          <w:szCs w:val="20"/>
        </w:rPr>
        <w:t xml:space="preserve">AVORATORI </w:t>
      </w:r>
      <w:r>
        <w:rPr>
          <w:rFonts w:ascii="Book Antiqua" w:hAnsi="Book Antiqua"/>
          <w:b/>
          <w:bCs/>
          <w:color w:val="FF6600"/>
          <w:sz w:val="52"/>
          <w:szCs w:val="52"/>
        </w:rPr>
        <w:t>S</w:t>
      </w:r>
      <w:r>
        <w:rPr>
          <w:rFonts w:ascii="Book Antiqua" w:hAnsi="Book Antiqua"/>
          <w:b/>
          <w:color w:val="FF6600"/>
        </w:rPr>
        <w:t>CUOLA</w:t>
      </w:r>
      <w:r>
        <w:rPr>
          <w:rFonts w:ascii="Book Antiqua" w:hAnsi="Book Antiqua"/>
          <w:b/>
          <w:color w:val="FF6600"/>
          <w:sz w:val="16"/>
        </w:rPr>
        <w:t xml:space="preserve"> aderente alla </w:t>
      </w:r>
      <w:r>
        <w:rPr>
          <w:rFonts w:ascii="Book Antiqua" w:hAnsi="Book Antiqua"/>
          <w:b/>
          <w:color w:val="FF6600"/>
        </w:rPr>
        <w:t>CONF.S.A.L.</w:t>
      </w:r>
    </w:p>
    <w:p w:rsidR="00853727" w:rsidRDefault="00853727" w:rsidP="00853727">
      <w:pPr>
        <w:spacing w:after="0" w:line="240" w:lineRule="auto"/>
        <w:jc w:val="center"/>
        <w:rPr>
          <w:rFonts w:ascii="Book Antiqua" w:hAnsi="Book Antiqua"/>
          <w:b/>
          <w:color w:val="FF6600"/>
          <w:sz w:val="20"/>
          <w:szCs w:val="20"/>
        </w:rPr>
      </w:pPr>
      <w:r>
        <w:rPr>
          <w:rFonts w:ascii="Book Antiqua" w:hAnsi="Book Antiqua"/>
          <w:b/>
          <w:color w:val="FF6600"/>
          <w:sz w:val="20"/>
          <w:szCs w:val="20"/>
        </w:rPr>
        <w:t>via A. Aleardi, 80-82- 30172 Venezia-Mestre. tel. 041958464 (2 linee r.a.); fax 041951188.</w:t>
      </w:r>
    </w:p>
    <w:p w:rsidR="00853727" w:rsidRDefault="00853727" w:rsidP="00853727">
      <w:pPr>
        <w:spacing w:after="0" w:line="240" w:lineRule="auto"/>
        <w:jc w:val="center"/>
        <w:rPr>
          <w:rFonts w:ascii="Book Antiqua" w:hAnsi="Book Antiqua" w:cs="Tahoma"/>
          <w:b/>
          <w:color w:val="FF6600"/>
          <w:lang w:val="fr-FR"/>
        </w:rPr>
      </w:pPr>
      <w:r>
        <w:rPr>
          <w:rFonts w:ascii="Book Antiqua" w:hAnsi="Book Antiqua"/>
          <w:b/>
          <w:color w:val="FF6600"/>
          <w:lang w:val="fr-FR"/>
        </w:rPr>
        <w:t xml:space="preserve">www.snalsvenezia.it ;      </w:t>
      </w:r>
      <w:r>
        <w:rPr>
          <w:rFonts w:ascii="Book Antiqua" w:hAnsi="Book Antiqua" w:cs="Tahoma"/>
          <w:b/>
          <w:color w:val="FF6600"/>
          <w:lang w:val="fr-FR"/>
        </w:rPr>
        <w:t>snals@snalsvenezia.it</w:t>
      </w:r>
    </w:p>
    <w:p w:rsidR="008F751E" w:rsidRPr="00853727" w:rsidRDefault="008F751E">
      <w:pPr>
        <w:rPr>
          <w:lang w:val="fr-FR"/>
        </w:rPr>
      </w:pPr>
    </w:p>
    <w:sectPr w:rsidR="008F751E" w:rsidRPr="00853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7"/>
    <w:rsid w:val="007A7F43"/>
    <w:rsid w:val="00853727"/>
    <w:rsid w:val="008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37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37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53727"/>
  </w:style>
  <w:style w:type="character" w:styleId="Enfasigrassetto">
    <w:name w:val="Strong"/>
    <w:basedOn w:val="Carpredefinitoparagrafo"/>
    <w:uiPriority w:val="22"/>
    <w:qFormat/>
    <w:rsid w:val="00853727"/>
    <w:rPr>
      <w:b/>
      <w:bCs/>
    </w:rPr>
  </w:style>
  <w:style w:type="character" w:styleId="Enfasicorsivo">
    <w:name w:val="Emphasis"/>
    <w:basedOn w:val="Carpredefinitoparagrafo"/>
    <w:uiPriority w:val="20"/>
    <w:qFormat/>
    <w:rsid w:val="008537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37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37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53727"/>
  </w:style>
  <w:style w:type="character" w:styleId="Enfasigrassetto">
    <w:name w:val="Strong"/>
    <w:basedOn w:val="Carpredefinitoparagrafo"/>
    <w:uiPriority w:val="22"/>
    <w:qFormat/>
    <w:rsid w:val="00853727"/>
    <w:rPr>
      <w:b/>
      <w:bCs/>
    </w:rPr>
  </w:style>
  <w:style w:type="character" w:styleId="Enfasicorsivo">
    <w:name w:val="Emphasis"/>
    <w:basedOn w:val="Carpredefinitoparagrafo"/>
    <w:uiPriority w:val="20"/>
    <w:qFormat/>
    <w:rsid w:val="008537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</dc:creator>
  <cp:lastModifiedBy>utente</cp:lastModifiedBy>
  <cp:revision>2</cp:revision>
  <dcterms:created xsi:type="dcterms:W3CDTF">2015-11-05T09:21:00Z</dcterms:created>
  <dcterms:modified xsi:type="dcterms:W3CDTF">2015-11-05T09:21:00Z</dcterms:modified>
</cp:coreProperties>
</file>